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4A" w:rsidRDefault="00390D65" w:rsidP="0037254A">
      <w:pPr>
        <w:pStyle w:val="NormaleWeb"/>
        <w:jc w:val="center"/>
        <w:rPr>
          <w:rFonts w:ascii="Tahoma" w:hAnsi="Tahoma" w:cs="Tahoma"/>
          <w:b/>
          <w:bCs/>
        </w:rPr>
      </w:pPr>
      <w:bookmarkStart w:id="0" w:name="_inizio"/>
      <w:bookmarkStart w:id="1" w:name="045"/>
      <w:bookmarkStart w:id="2" w:name="_GoBack"/>
      <w:r>
        <w:rPr>
          <w:rFonts w:ascii="Tahoma" w:hAnsi="Tahoma" w:cs="Tahoma"/>
          <w:b/>
          <w:bCs/>
        </w:rPr>
        <w:t>Allegato 4</w:t>
      </w:r>
    </w:p>
    <w:bookmarkEnd w:id="2"/>
    <w:p w:rsidR="0037254A" w:rsidRDefault="0037254A" w:rsidP="0037254A">
      <w:pPr>
        <w:pStyle w:val="NormaleWeb"/>
        <w:jc w:val="center"/>
        <w:rPr>
          <w:rFonts w:ascii="Tahoma" w:hAnsi="Tahoma" w:cs="Tahoma"/>
        </w:rPr>
      </w:pPr>
      <w:r>
        <w:rPr>
          <w:rFonts w:ascii="Tahoma" w:hAnsi="Tahoma" w:cs="Tahoma"/>
          <w:b/>
          <w:bCs/>
        </w:rPr>
        <w:t>Decreto legislativo 18 aprile 2016, n. 50</w:t>
      </w:r>
      <w:bookmarkEnd w:id="0"/>
      <w:r>
        <w:rPr>
          <w:rFonts w:ascii="Tahoma" w:hAnsi="Tahoma" w:cs="Tahoma"/>
          <w:b/>
          <w:bCs/>
        </w:rPr>
        <w:br/>
      </w:r>
      <w:r>
        <w:rPr>
          <w:rFonts w:ascii="Tahoma" w:hAnsi="Tahoma" w:cs="Tahoma"/>
          <w:b/>
          <w:bCs/>
          <w:sz w:val="20"/>
          <w:szCs w:val="20"/>
        </w:rPr>
        <w:t xml:space="preserve">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w:t>
      </w:r>
      <w:proofErr w:type="gramStart"/>
      <w:r>
        <w:rPr>
          <w:rFonts w:ascii="Tahoma" w:hAnsi="Tahoma" w:cs="Tahoma"/>
          <w:b/>
          <w:bCs/>
          <w:sz w:val="20"/>
          <w:szCs w:val="20"/>
        </w:rPr>
        <w:t>forniture</w:t>
      </w:r>
      <w:r>
        <w:rPr>
          <w:rFonts w:ascii="Tahoma" w:hAnsi="Tahoma" w:cs="Tahoma"/>
          <w:sz w:val="20"/>
          <w:szCs w:val="20"/>
        </w:rPr>
        <w:br/>
      </w:r>
      <w:r>
        <w:rPr>
          <w:rFonts w:ascii="Tahoma" w:hAnsi="Tahoma" w:cs="Tahoma"/>
          <w:color w:val="00B04F"/>
          <w:sz w:val="20"/>
          <w:szCs w:val="20"/>
        </w:rPr>
        <w:t>(</w:t>
      </w:r>
      <w:proofErr w:type="gramEnd"/>
      <w:r>
        <w:rPr>
          <w:rFonts w:ascii="Tahoma" w:hAnsi="Tahoma" w:cs="Tahoma"/>
          <w:color w:val="00B04F"/>
          <w:sz w:val="20"/>
          <w:szCs w:val="20"/>
        </w:rPr>
        <w:t>G.U. n. 91 del 19 aprile 2016)</w:t>
      </w:r>
    </w:p>
    <w:p w:rsidR="0037254A" w:rsidRDefault="0037254A" w:rsidP="0037254A">
      <w:pPr>
        <w:pStyle w:val="NormaleWeb"/>
        <w:rPr>
          <w:rFonts w:ascii="Tahoma" w:hAnsi="Tahoma" w:cs="Tahoma"/>
          <w:b/>
          <w:bCs/>
          <w:sz w:val="20"/>
          <w:szCs w:val="20"/>
        </w:rPr>
      </w:pPr>
    </w:p>
    <w:p w:rsidR="0037254A" w:rsidRDefault="0037254A" w:rsidP="0037254A">
      <w:pPr>
        <w:pStyle w:val="NormaleWeb"/>
        <w:jc w:val="center"/>
        <w:rPr>
          <w:rFonts w:ascii="Tahoma" w:hAnsi="Tahoma" w:cs="Tahoma"/>
          <w:sz w:val="20"/>
          <w:szCs w:val="20"/>
        </w:rPr>
      </w:pPr>
      <w:r>
        <w:rPr>
          <w:rFonts w:ascii="Tahoma" w:hAnsi="Tahoma" w:cs="Tahoma"/>
          <w:b/>
          <w:bCs/>
          <w:sz w:val="20"/>
          <w:szCs w:val="20"/>
        </w:rPr>
        <w:t>Art. 45</w:t>
      </w:r>
      <w:bookmarkEnd w:id="1"/>
      <w:r>
        <w:rPr>
          <w:rFonts w:ascii="Tahoma" w:hAnsi="Tahoma" w:cs="Tahoma"/>
          <w:b/>
          <w:bCs/>
          <w:sz w:val="20"/>
          <w:szCs w:val="20"/>
        </w:rPr>
        <w:t>. (Operatori economici)</w:t>
      </w:r>
    </w:p>
    <w:p w:rsidR="0037254A" w:rsidRDefault="0037254A" w:rsidP="0037254A">
      <w:pPr>
        <w:pStyle w:val="NormaleWeb"/>
        <w:rPr>
          <w:rFonts w:ascii="Tahoma" w:hAnsi="Tahoma" w:cs="Tahoma"/>
          <w:sz w:val="20"/>
          <w:szCs w:val="20"/>
        </w:rPr>
      </w:pPr>
      <w:r>
        <w:rPr>
          <w:rFonts w:ascii="Tahoma" w:hAnsi="Tahoma" w:cs="Tahoma"/>
          <w:sz w:val="20"/>
          <w:szCs w:val="20"/>
        </w:rPr>
        <w:t>1. Sono ammessi a partecipare alle procedure di affidamento dei contratti pubblici gli operatori economici di cui all’</w:t>
      </w:r>
      <w:hyperlink r:id="rId4" w:anchor="003.e" w:history="1">
        <w:r>
          <w:rPr>
            <w:rStyle w:val="Collegamentoipertestuale"/>
            <w:rFonts w:ascii="Tahoma" w:hAnsi="Tahoma" w:cs="Tahoma"/>
            <w:sz w:val="20"/>
            <w:szCs w:val="20"/>
          </w:rPr>
          <w:t>articolo 3, comma 1, lettera p)</w:t>
        </w:r>
      </w:hyperlink>
      <w:r>
        <w:rPr>
          <w:rFonts w:ascii="Tahoma" w:hAnsi="Tahoma" w:cs="Tahoma"/>
          <w:sz w:val="20"/>
          <w:szCs w:val="20"/>
        </w:rPr>
        <w:t xml:space="preserve"> nonché gli operatori economici stabiliti in altri Stati membri, costituiti conformemente alla legislazione vigente nei rispettivi Paesi. Gli operatori economici, i raggruppamenti di operatori economici, comprese le associazioni temporanee, che in base alla normativa dello Stato membro nel quale sono stabiliti, sono autorizzati a fornire la prestazione oggetto della procedura di affidamento, possono partecipare alle procedure di affidamento dei contratti pubblici anche nel caso in cui essi avrebbero dovuto configurarsi come persone fisiche o persone giuridiche, ai sensi del presente codice. </w:t>
      </w:r>
    </w:p>
    <w:p w:rsidR="0037254A" w:rsidRDefault="0037254A" w:rsidP="0037254A">
      <w:pPr>
        <w:pStyle w:val="NormaleWeb"/>
        <w:rPr>
          <w:rFonts w:ascii="Tahoma" w:hAnsi="Tahoma" w:cs="Tahoma"/>
          <w:sz w:val="20"/>
          <w:szCs w:val="20"/>
        </w:rPr>
      </w:pPr>
      <w:r>
        <w:rPr>
          <w:rFonts w:ascii="Tahoma" w:hAnsi="Tahoma" w:cs="Tahoma"/>
          <w:sz w:val="20"/>
          <w:szCs w:val="20"/>
        </w:rPr>
        <w:t xml:space="preserve">2. Rientrano nella definizione di operatori economici i seguenti soggetti: </w:t>
      </w:r>
    </w:p>
    <w:p w:rsidR="0037254A" w:rsidRDefault="0037254A" w:rsidP="0037254A">
      <w:pPr>
        <w:pStyle w:val="NormaleWeb"/>
        <w:rPr>
          <w:rFonts w:ascii="Tahoma" w:hAnsi="Tahoma" w:cs="Tahoma"/>
          <w:sz w:val="20"/>
          <w:szCs w:val="20"/>
        </w:rPr>
      </w:pPr>
      <w:r>
        <w:rPr>
          <w:rFonts w:ascii="Tahoma" w:hAnsi="Tahoma" w:cs="Tahoma"/>
          <w:sz w:val="20"/>
          <w:szCs w:val="20"/>
        </w:rPr>
        <w:t xml:space="preserve">a) gli imprenditori individuali, anche artigiani, e le società, anche cooperative; </w:t>
      </w:r>
      <w:r>
        <w:rPr>
          <w:rFonts w:ascii="Tahoma" w:hAnsi="Tahoma" w:cs="Tahoma"/>
          <w:sz w:val="20"/>
          <w:szCs w:val="20"/>
        </w:rPr>
        <w:br/>
        <w:t xml:space="preserve">b) i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 </w:t>
      </w:r>
      <w:r>
        <w:rPr>
          <w:rFonts w:ascii="Tahoma" w:hAnsi="Tahoma" w:cs="Tahoma"/>
          <w:sz w:val="20"/>
          <w:szCs w:val="20"/>
        </w:rPr>
        <w:br/>
        <w:t>c) i consorzi stabili, costituiti anche in forma di società consortili ai sensi dell'</w:t>
      </w:r>
      <w:hyperlink r:id="rId5" w:anchor="2615-ter" w:history="1">
        <w:r>
          <w:rPr>
            <w:rStyle w:val="Collegamentoipertestuale"/>
            <w:rFonts w:ascii="Tahoma" w:hAnsi="Tahoma" w:cs="Tahoma"/>
            <w:sz w:val="20"/>
            <w:szCs w:val="20"/>
          </w:rPr>
          <w:t>articolo 2615-ter del codice civile,</w:t>
        </w:r>
      </w:hyperlink>
      <w:r>
        <w:rPr>
          <w:rFonts w:ascii="Tahoma" w:hAnsi="Tahoma" w:cs="Tahoma"/>
          <w:sz w:val="20"/>
          <w:szCs w:val="20"/>
        </w:rPr>
        <w:t xml:space="preserv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r>
        <w:rPr>
          <w:rFonts w:ascii="Tahoma" w:hAnsi="Tahoma" w:cs="Tahoma"/>
          <w:sz w:val="20"/>
          <w:szCs w:val="20"/>
        </w:rPr>
        <w:br/>
        <w:t xml:space="preserve">d) 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r>
        <w:rPr>
          <w:rFonts w:ascii="Tahoma" w:hAnsi="Tahoma" w:cs="Tahoma"/>
          <w:sz w:val="20"/>
          <w:szCs w:val="20"/>
        </w:rPr>
        <w:br/>
        <w:t>e) i consorzi ordinari di concorrenti di cui all'</w:t>
      </w:r>
      <w:hyperlink r:id="rId6" w:anchor="2602" w:history="1">
        <w:r>
          <w:rPr>
            <w:rStyle w:val="Collegamentoipertestuale"/>
            <w:rFonts w:ascii="Tahoma" w:hAnsi="Tahoma" w:cs="Tahoma"/>
            <w:sz w:val="20"/>
            <w:szCs w:val="20"/>
          </w:rPr>
          <w:t>articolo 2602 del codice civile</w:t>
        </w:r>
      </w:hyperlink>
      <w:r>
        <w:rPr>
          <w:rFonts w:ascii="Tahoma" w:hAnsi="Tahoma" w:cs="Tahoma"/>
          <w:sz w:val="20"/>
          <w:szCs w:val="20"/>
        </w:rPr>
        <w:t>, costituiti tra i soggetti di cui alle lettere a), b) e c) del presente comma, anche in forma di società ai sensi dell'</w:t>
      </w:r>
      <w:hyperlink r:id="rId7" w:anchor="2615-ter" w:history="1">
        <w:r>
          <w:rPr>
            <w:rStyle w:val="Collegamentoipertestuale"/>
            <w:rFonts w:ascii="Tahoma" w:hAnsi="Tahoma" w:cs="Tahoma"/>
            <w:sz w:val="20"/>
            <w:szCs w:val="20"/>
          </w:rPr>
          <w:t>articolo 2615-ter del codice civile</w:t>
        </w:r>
      </w:hyperlink>
      <w:r>
        <w:rPr>
          <w:rFonts w:ascii="Tahoma" w:hAnsi="Tahoma" w:cs="Tahoma"/>
          <w:sz w:val="20"/>
          <w:szCs w:val="20"/>
        </w:rPr>
        <w:t xml:space="preserve">; </w:t>
      </w:r>
      <w:r>
        <w:rPr>
          <w:rFonts w:ascii="Tahoma" w:hAnsi="Tahoma" w:cs="Tahoma"/>
          <w:sz w:val="20"/>
          <w:szCs w:val="20"/>
        </w:rPr>
        <w:br/>
        <w:t>f) le aggregazioni tra le imprese aderenti al contratto di rete ai sensi dell'</w:t>
      </w:r>
      <w:hyperlink r:id="rId8" w:anchor="03" w:history="1">
        <w:r>
          <w:rPr>
            <w:rStyle w:val="Collegamentoipertestuale"/>
            <w:rFonts w:ascii="Tahoma" w:hAnsi="Tahoma" w:cs="Tahoma"/>
            <w:sz w:val="20"/>
            <w:szCs w:val="20"/>
          </w:rPr>
          <w:t>articolo 3, comma 4-ter, del decreto legge 10 febbraio 2009, n. 5, convertito, con modificazioni, dalla legge 9 aprile 2009, n. 33</w:t>
        </w:r>
      </w:hyperlink>
      <w:r>
        <w:rPr>
          <w:rFonts w:ascii="Tahoma" w:hAnsi="Tahoma" w:cs="Tahoma"/>
          <w:sz w:val="20"/>
          <w:szCs w:val="20"/>
        </w:rPr>
        <w:t xml:space="preserve">; </w:t>
      </w:r>
      <w:r>
        <w:rPr>
          <w:rFonts w:ascii="Tahoma" w:hAnsi="Tahoma" w:cs="Tahoma"/>
          <w:sz w:val="20"/>
          <w:szCs w:val="20"/>
        </w:rPr>
        <w:br/>
        <w:t>g) i soggetti che abbiano stipulato il contratto di gruppo europeo di interesse economico (GEIE) ai sensi del decreto legislativo 23 luglio 1991, n. 240;</w:t>
      </w:r>
    </w:p>
    <w:p w:rsidR="0037254A" w:rsidRDefault="0037254A" w:rsidP="0037254A">
      <w:pPr>
        <w:pStyle w:val="NormaleWeb"/>
        <w:rPr>
          <w:rFonts w:ascii="Tahoma" w:hAnsi="Tahoma" w:cs="Tahoma"/>
          <w:sz w:val="20"/>
          <w:szCs w:val="20"/>
        </w:rPr>
      </w:pPr>
      <w:r>
        <w:rPr>
          <w:rFonts w:ascii="Tahoma" w:hAnsi="Tahoma" w:cs="Tahoma"/>
          <w:sz w:val="20"/>
          <w:szCs w:val="20"/>
        </w:rPr>
        <w:t xml:space="preserve">3. Le stazioni appaltanti possono imporre ai raggruppamenti di operatori economici di assumere una forma giuridica specifica dopo l’aggiudicazione del contratto, nel caso in cui tale trasformazione sia necessaria per la buona esecuzione del contratto. </w:t>
      </w:r>
    </w:p>
    <w:p w:rsidR="0037254A" w:rsidRDefault="0037254A" w:rsidP="0037254A">
      <w:pPr>
        <w:pStyle w:val="NormaleWeb"/>
        <w:rPr>
          <w:rFonts w:ascii="Tahoma" w:hAnsi="Tahoma" w:cs="Tahoma"/>
          <w:sz w:val="20"/>
          <w:szCs w:val="20"/>
        </w:rPr>
      </w:pPr>
      <w:r>
        <w:rPr>
          <w:rFonts w:ascii="Tahoma" w:hAnsi="Tahoma" w:cs="Tahoma"/>
          <w:sz w:val="20"/>
          <w:szCs w:val="20"/>
        </w:rPr>
        <w:t xml:space="preserve">4. Le stazioni appaltanti possono imporre alle persone giuridiche di indicare, nell’offerta o nella domanda di partecipazione a procedure di aggiudicazione di appalti di servizi e di lavori, nonché di forniture che comportano anche servizi o lavori di posa in opera e di installazione e di concessioni, il nome e le qualifiche professionali delle persone fisiche incaricate di fornire la prestazione relativa allo specifico contratto. </w:t>
      </w:r>
    </w:p>
    <w:p w:rsidR="0037254A" w:rsidRDefault="0037254A" w:rsidP="0037254A">
      <w:pPr>
        <w:pStyle w:val="NormaleWeb"/>
        <w:rPr>
          <w:rFonts w:ascii="Tahoma" w:hAnsi="Tahoma" w:cs="Tahoma"/>
          <w:sz w:val="20"/>
          <w:szCs w:val="20"/>
        </w:rPr>
      </w:pPr>
      <w:r>
        <w:rPr>
          <w:rFonts w:ascii="Tahoma" w:hAnsi="Tahoma" w:cs="Tahoma"/>
          <w:sz w:val="20"/>
          <w:szCs w:val="20"/>
        </w:rPr>
        <w:t xml:space="preserve">5. Le stazioni appaltanti possono richiedere ai raggruppamenti di operatori economici condizioni per l’esecuzione di un appalto o di una concessione diverse da quelle imposte ai singoli partecipanti, purché siano proporzionate e giustificate da ragioni oggettive. </w:t>
      </w:r>
    </w:p>
    <w:p w:rsidR="00323AFA" w:rsidRDefault="00323AFA"/>
    <w:sectPr w:rsidR="00323A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4A"/>
    <w:rsid w:val="00323AFA"/>
    <w:rsid w:val="0037254A"/>
    <w:rsid w:val="00390D65"/>
    <w:rsid w:val="00E20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E10F9-55D5-45DB-AAC2-17F41FEF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25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72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43256">
      <w:bodyDiv w:val="1"/>
      <w:marLeft w:val="0"/>
      <w:marRight w:val="0"/>
      <w:marTop w:val="0"/>
      <w:marBottom w:val="0"/>
      <w:divBdr>
        <w:top w:val="none" w:sz="0" w:space="0" w:color="auto"/>
        <w:left w:val="none" w:sz="0" w:space="0" w:color="auto"/>
        <w:bottom w:val="none" w:sz="0" w:space="0" w:color="auto"/>
        <w:right w:val="none" w:sz="0" w:space="0" w:color="auto"/>
      </w:divBdr>
    </w:div>
    <w:div w:id="1337080026">
      <w:bodyDiv w:val="1"/>
      <w:marLeft w:val="0"/>
      <w:marRight w:val="0"/>
      <w:marTop w:val="0"/>
      <w:marBottom w:val="0"/>
      <w:divBdr>
        <w:top w:val="none" w:sz="0" w:space="0" w:color="auto"/>
        <w:left w:val="none" w:sz="0" w:space="0" w:color="auto"/>
        <w:bottom w:val="none" w:sz="0" w:space="0" w:color="auto"/>
        <w:right w:val="none" w:sz="0" w:space="0" w:color="auto"/>
      </w:divBdr>
      <w:divsChild>
        <w:div w:id="104394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9_0033.htm" TargetMode="External"/><Relationship Id="rId3" Type="http://schemas.openxmlformats.org/officeDocument/2006/relationships/webSettings" Target="webSettings.xml"/><Relationship Id="rId7" Type="http://schemas.openxmlformats.org/officeDocument/2006/relationships/hyperlink" Target="http://www.bosettiegatti.eu/info/norme/statali/codicecivil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codicecivile.htm" TargetMode="External"/><Relationship Id="rId5" Type="http://schemas.openxmlformats.org/officeDocument/2006/relationships/hyperlink" Target="http://www.bosettiegatti.eu/info/norme/statali/codicecivile.htm" TargetMode="External"/><Relationship Id="rId10" Type="http://schemas.openxmlformats.org/officeDocument/2006/relationships/theme" Target="theme/theme1.xml"/><Relationship Id="rId4" Type="http://schemas.openxmlformats.org/officeDocument/2006/relationships/hyperlink" Target="http://www.bosettiegatti.eu/info/norme/statali/2016_0050.ht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dpp1053261</dc:creator>
  <cp:lastModifiedBy>Francesca Pioli</cp:lastModifiedBy>
  <cp:revision>2</cp:revision>
  <cp:lastPrinted>2016-07-28T14:43:00Z</cp:lastPrinted>
  <dcterms:created xsi:type="dcterms:W3CDTF">2016-08-02T09:33:00Z</dcterms:created>
  <dcterms:modified xsi:type="dcterms:W3CDTF">2016-08-02T09:33:00Z</dcterms:modified>
</cp:coreProperties>
</file>